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无锡职业技术学院中层干部经济责任审计负面清单</w:t>
      </w:r>
    </w:p>
    <w:p>
      <w:pPr>
        <w:jc w:val="center"/>
      </w:pP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宋体" w:hAnsi="宋体" w:eastAsia="宋体" w:cs="宋体"/>
          <w:b/>
          <w:bCs/>
          <w:kern w:val="0"/>
          <w:sz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t>部门费用报销签字审核方面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FF0000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1、报销活动费用无发放清单（如工会活动）；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FF0000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2、</w:t>
      </w:r>
      <w:r>
        <w:rPr>
          <w:rFonts w:hint="eastAsia" w:ascii="宋体" w:hAnsi="宋体" w:eastAsia="宋体" w:cs="宋体"/>
          <w:bCs/>
          <w:kern w:val="0"/>
          <w:sz w:val="24"/>
        </w:rPr>
        <w:t>取得的原始票据不规范。如发票抬头为个人、客户；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FF0000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3、费用列支无明细清单。如列示食品、办公用品等；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FF0000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4、公务用餐超标。如餐标超标或者陪餐人员超标，未按规定附报销附件；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</w:t>
      </w:r>
      <w:r>
        <w:rPr>
          <w:rFonts w:hint="eastAsia" w:ascii="宋体" w:hAnsi="宋体" w:eastAsia="宋体" w:cs="宋体"/>
          <w:bCs/>
          <w:kern w:val="0"/>
          <w:sz w:val="24"/>
        </w:rPr>
        <w:t>原始票据报销时间过长。如出差、采购、用餐等项目未及时结算；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6、劳务费发放不符合规定。比如未考虑个税，经办人现金代签等；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7、课时费发放计算错误。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bCs/>
          <w:kern w:val="0"/>
          <w:sz w:val="24"/>
        </w:rPr>
      </w:pP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宋体" w:hAnsi="宋体" w:eastAsia="宋体" w:cs="宋体"/>
          <w:b/>
          <w:kern w:val="0"/>
          <w:sz w:val="24"/>
        </w:rPr>
      </w:pPr>
      <w:r>
        <w:rPr>
          <w:rFonts w:hint="eastAsia" w:ascii="宋体" w:hAnsi="宋体" w:eastAsia="宋体" w:cs="宋体"/>
          <w:b/>
          <w:kern w:val="0"/>
          <w:sz w:val="24"/>
        </w:rPr>
        <w:t>固定资产管理方面</w:t>
      </w:r>
    </w:p>
    <w:p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固定资产丢失；</w:t>
      </w:r>
    </w:p>
    <w:p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固定资产存放地点不对，和系统显示不一致；</w:t>
      </w:r>
    </w:p>
    <w:p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固定资产状态不对，闲置或待报废资产系统显示正常使用；</w:t>
      </w:r>
    </w:p>
    <w:p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固定资产使用人和实际不符，未及时调拨；</w:t>
      </w:r>
    </w:p>
    <w:p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固定资产未贴标签；</w:t>
      </w:r>
    </w:p>
    <w:p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干部离任未履行资产交接手续。</w:t>
      </w:r>
    </w:p>
    <w:p>
      <w:pPr>
        <w:widowControl/>
        <w:adjustRightInd w:val="0"/>
        <w:snapToGrid w:val="0"/>
        <w:spacing w:line="360" w:lineRule="auto"/>
        <w:jc w:val="left"/>
        <w:rPr>
          <w:rFonts w:ascii="宋体" w:hAnsi="宋体" w:eastAsia="宋体" w:cs="宋体"/>
          <w:bCs/>
          <w:kern w:val="0"/>
          <w:sz w:val="24"/>
        </w:rPr>
      </w:pPr>
    </w:p>
    <w:p>
      <w:pPr>
        <w:widowControl/>
        <w:adjustRightInd w:val="0"/>
        <w:snapToGrid w:val="0"/>
        <w:spacing w:line="360" w:lineRule="auto"/>
        <w:ind w:firstLine="472" w:firstLineChars="196"/>
        <w:jc w:val="left"/>
        <w:rPr>
          <w:rFonts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/>
          <w:kern w:val="0"/>
          <w:sz w:val="24"/>
        </w:rPr>
        <w:t>招标及经济合同方面：</w:t>
      </w:r>
      <w:r>
        <w:rPr>
          <w:rFonts w:hint="eastAsia" w:ascii="宋体" w:hAnsi="宋体" w:eastAsia="宋体" w:cs="宋体"/>
          <w:bCs/>
          <w:kern w:val="0"/>
          <w:sz w:val="24"/>
        </w:rPr>
        <w:t xml:space="preserve"> </w:t>
      </w:r>
    </w:p>
    <w:p>
      <w:pPr>
        <w:widowControl/>
        <w:numPr>
          <w:ilvl w:val="0"/>
          <w:numId w:val="2"/>
        </w:num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存在</w:t>
      </w:r>
      <w:r>
        <w:rPr>
          <w:rFonts w:ascii="宋体" w:hAnsi="宋体" w:eastAsia="宋体" w:cs="宋体"/>
          <w:kern w:val="0"/>
          <w:sz w:val="24"/>
        </w:rPr>
        <w:t>经济合同的主体不是无锡职业技术学院的情况</w:t>
      </w:r>
      <w:r>
        <w:rPr>
          <w:rFonts w:hint="eastAsia" w:ascii="宋体" w:hAnsi="宋体" w:eastAsia="宋体" w:cs="宋体"/>
          <w:kern w:val="0"/>
          <w:sz w:val="24"/>
        </w:rPr>
        <w:t>；</w:t>
      </w:r>
    </w:p>
    <w:p>
      <w:pPr>
        <w:widowControl/>
        <w:numPr>
          <w:ilvl w:val="0"/>
          <w:numId w:val="2"/>
        </w:num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同一项业务支出拆分列支，化大为小。出现同一家单位，发票连号或者邻近，同一笔经济业务的报销凭证未合并核算，未按规定经校领导审批</w:t>
      </w:r>
      <w:r>
        <w:rPr>
          <w:rFonts w:hint="eastAsia" w:ascii="宋体" w:hAnsi="宋体" w:eastAsia="宋体" w:cs="宋体"/>
          <w:bCs/>
          <w:kern w:val="0"/>
          <w:sz w:val="24"/>
          <w:lang w:eastAsia="zh-CN"/>
        </w:rPr>
        <w:t>；</w:t>
      </w:r>
    </w:p>
    <w:p>
      <w:pPr>
        <w:widowControl/>
        <w:numPr>
          <w:ilvl w:val="0"/>
          <w:numId w:val="2"/>
        </w:num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可以预先计划的常规经济业务未统筹考虑、分多次采购，有回避招标的迹象</w:t>
      </w:r>
      <w:r>
        <w:rPr>
          <w:rFonts w:hint="eastAsia" w:ascii="宋体" w:hAnsi="宋体" w:eastAsia="宋体" w:cs="宋体"/>
          <w:bCs/>
          <w:kern w:val="0"/>
          <w:sz w:val="24"/>
          <w:lang w:eastAsia="zh-CN"/>
        </w:rPr>
        <w:t>；</w:t>
      </w:r>
      <w:bookmarkStart w:id="0" w:name="_GoBack"/>
      <w:bookmarkEnd w:id="0"/>
    </w:p>
    <w:p>
      <w:pPr>
        <w:widowControl/>
        <w:numPr>
          <w:ilvl w:val="0"/>
          <w:numId w:val="2"/>
        </w:num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未按合同规定的时限收缴租金；</w:t>
      </w:r>
    </w:p>
    <w:p>
      <w:pPr>
        <w:widowControl/>
        <w:numPr>
          <w:ilvl w:val="0"/>
          <w:numId w:val="2"/>
        </w:numPr>
        <w:adjustRightInd w:val="0"/>
        <w:snapToGrid w:val="0"/>
        <w:spacing w:line="360" w:lineRule="auto"/>
        <w:ind w:firstLine="480" w:firstLineChars="200"/>
        <w:jc w:val="left"/>
      </w:pPr>
      <w:r>
        <w:rPr>
          <w:rFonts w:hint="eastAsia" w:ascii="宋体" w:hAnsi="宋体" w:eastAsia="宋体" w:cs="宋体"/>
          <w:bCs/>
          <w:kern w:val="0"/>
          <w:sz w:val="24"/>
        </w:rPr>
        <w:t>出租出借未按规定报批。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3D4371"/>
    <w:multiLevelType w:val="singleLevel"/>
    <w:tmpl w:val="D73D437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8470DC4"/>
    <w:multiLevelType w:val="singleLevel"/>
    <w:tmpl w:val="08470DC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44F7C12"/>
    <w:rsid w:val="00331635"/>
    <w:rsid w:val="005F33DD"/>
    <w:rsid w:val="00B73EDF"/>
    <w:rsid w:val="00CA5A33"/>
    <w:rsid w:val="00F45E5A"/>
    <w:rsid w:val="24261BE9"/>
    <w:rsid w:val="344F7C12"/>
    <w:rsid w:val="3880689D"/>
    <w:rsid w:val="3D824CC9"/>
    <w:rsid w:val="56DD30CC"/>
    <w:rsid w:val="76B3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421</Characters>
  <Lines>3</Lines>
  <Paragraphs>1</Paragraphs>
  <TotalTime>18</TotalTime>
  <ScaleCrop>false</ScaleCrop>
  <LinksUpToDate>false</LinksUpToDate>
  <CharactersWithSpaces>493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2020-07-09T06:49:00Z</dcterms:created>
  <dc:creator>huapi</dc:creator>
  <cp:lastModifiedBy>huapi</cp:lastModifiedBy>
  <dcterms:modified xsi:type="dcterms:W3CDTF">2020-07-09T07:02:51Z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